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7" w:rsidRDefault="00184FB7" w:rsidP="00184FB7">
      <w:pPr>
        <w:ind w:left="4956" w:right="-622"/>
        <w:rPr>
          <w:sz w:val="22"/>
          <w:szCs w:val="22"/>
        </w:rPr>
      </w:pPr>
      <w:r>
        <w:rPr>
          <w:sz w:val="22"/>
          <w:szCs w:val="22"/>
        </w:rPr>
        <w:t xml:space="preserve">Al Sindaco di Roma Capitale                                                                                             </w:t>
      </w:r>
      <w:r>
        <w:t xml:space="preserve">    </w:t>
      </w:r>
      <w:r>
        <w:rPr>
          <w:sz w:val="22"/>
          <w:szCs w:val="22"/>
        </w:rPr>
        <w:t xml:space="preserve">On. Ignazio Marino </w:t>
      </w:r>
    </w:p>
    <w:p w:rsidR="00184FB7" w:rsidRDefault="00184FB7" w:rsidP="00184FB7">
      <w:pPr>
        <w:ind w:left="4956" w:right="-622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184FB7" w:rsidRPr="00184FB7" w:rsidRDefault="00184FB7" w:rsidP="00184FB7">
      <w:pPr>
        <w:ind w:left="4956" w:right="-622"/>
        <w:rPr>
          <w:sz w:val="22"/>
          <w:szCs w:val="22"/>
        </w:rPr>
      </w:pPr>
      <w:r>
        <w:rPr>
          <w:sz w:val="22"/>
          <w:szCs w:val="22"/>
        </w:rPr>
        <w:t>All’Assessore Trasporti e Mobilità</w:t>
      </w:r>
    </w:p>
    <w:p w:rsidR="00184FB7" w:rsidRPr="00C47E8E" w:rsidRDefault="00184FB7" w:rsidP="00426B3F">
      <w:pPr>
        <w:ind w:left="3708" w:right="-622" w:firstLine="1248"/>
        <w:rPr>
          <w:sz w:val="20"/>
          <w:szCs w:val="20"/>
        </w:rPr>
      </w:pPr>
      <w:r>
        <w:rPr>
          <w:sz w:val="22"/>
          <w:szCs w:val="22"/>
        </w:rPr>
        <w:t xml:space="preserve">On. Guido </w:t>
      </w:r>
      <w:proofErr w:type="spellStart"/>
      <w:r>
        <w:rPr>
          <w:sz w:val="22"/>
          <w:szCs w:val="22"/>
        </w:rPr>
        <w:t>Improta</w:t>
      </w:r>
      <w:proofErr w:type="spellEnd"/>
    </w:p>
    <w:p w:rsidR="00184FB7" w:rsidRDefault="00184FB7" w:rsidP="00184FB7">
      <w:pPr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184FB7" w:rsidRDefault="00184FB7" w:rsidP="00184FB7">
      <w:pPr>
        <w:ind w:left="1416" w:firstLine="708"/>
        <w:jc w:val="center"/>
      </w:pPr>
      <w:r>
        <w:rPr>
          <w:sz w:val="22"/>
          <w:szCs w:val="22"/>
        </w:rPr>
        <w:t xml:space="preserve">                Al Presidente di ATAC  S.p.A.</w:t>
      </w:r>
    </w:p>
    <w:p w:rsidR="00184FB7" w:rsidRDefault="00184FB7" w:rsidP="00184FB7">
      <w:pPr>
        <w:ind w:left="1416"/>
        <w:jc w:val="center"/>
      </w:pPr>
      <w:r>
        <w:t xml:space="preserve">    </w:t>
      </w:r>
      <w:r>
        <w:tab/>
      </w:r>
      <w:r>
        <w:tab/>
      </w:r>
      <w:r>
        <w:tab/>
      </w:r>
    </w:p>
    <w:p w:rsidR="00184FB7" w:rsidRDefault="00184FB7" w:rsidP="00184FB7">
      <w:pPr>
        <w:ind w:left="1416"/>
      </w:pPr>
      <w:r>
        <w:tab/>
      </w:r>
      <w:r>
        <w:tab/>
      </w:r>
      <w:r>
        <w:tab/>
      </w:r>
      <w:r>
        <w:tab/>
      </w:r>
      <w:r>
        <w:tab/>
        <w:t>All’Amministratore Delegato di ATAC</w:t>
      </w:r>
    </w:p>
    <w:p w:rsidR="00184FB7" w:rsidRDefault="00184FB7" w:rsidP="00184FB7">
      <w:pPr>
        <w:ind w:left="1416"/>
        <w:rPr>
          <w:b/>
        </w:rPr>
      </w:pPr>
    </w:p>
    <w:p w:rsidR="00184FB7" w:rsidRPr="00184FB7" w:rsidRDefault="00184FB7" w:rsidP="00184FB7">
      <w:pPr>
        <w:ind w:left="1416"/>
      </w:pPr>
      <w:r>
        <w:rPr>
          <w:b/>
        </w:rPr>
        <w:t xml:space="preserve">                                  Premesso che,</w:t>
      </w:r>
    </w:p>
    <w:p w:rsidR="001978BD" w:rsidRPr="001978BD" w:rsidRDefault="00184FB7" w:rsidP="001978BD">
      <w:pPr>
        <w:jc w:val="both"/>
        <w:rPr>
          <w:b/>
        </w:rPr>
      </w:pPr>
      <w:r>
        <w:t>Roma Capitale e ATAC hanno adottato un</w:t>
      </w:r>
      <w:r w:rsidR="002D1150">
        <w:t xml:space="preserve"> nuovo</w:t>
      </w:r>
      <w:r>
        <w:t xml:space="preserve"> piano </w:t>
      </w:r>
      <w:r w:rsidR="001978BD">
        <w:t>della mobilità che prevede misure vessatorie nei confronti dei cittadini romani quali:</w:t>
      </w:r>
      <w:r w:rsidR="001978BD" w:rsidRPr="001978BD">
        <w:t xml:space="preserve"> </w:t>
      </w:r>
      <w:r w:rsidR="001978BD">
        <w:t>l’aumento tariffario della sosta tramite striscia blu,</w:t>
      </w:r>
      <w:r w:rsidR="00210076">
        <w:t xml:space="preserve"> </w:t>
      </w:r>
      <w:r w:rsidR="001978BD">
        <w:t xml:space="preserve">l’eliminazione degli abbonamenti giornalieri e mensili, la eliminazione delle strisce bianche dentro l’anello ferroviario; </w:t>
      </w:r>
      <w:r w:rsidR="001978BD" w:rsidRPr="001978BD">
        <w:rPr>
          <w:rFonts w:ascii="Calibri" w:hAnsi="Calibri"/>
          <w:color w:val="1F497D"/>
        </w:rPr>
        <w:t>l'estensione progressiva della striscia b</w:t>
      </w:r>
      <w:r w:rsidR="001978BD">
        <w:rPr>
          <w:rFonts w:ascii="Calibri" w:hAnsi="Calibri"/>
          <w:color w:val="1F497D"/>
        </w:rPr>
        <w:t xml:space="preserve">lu nella fascia verde, il pagamento </w:t>
      </w:r>
      <w:r w:rsidR="001978BD" w:rsidRPr="001978BD">
        <w:rPr>
          <w:rFonts w:ascii="Calibri" w:hAnsi="Calibri"/>
          <w:color w:val="1F497D"/>
        </w:rPr>
        <w:t>di</w:t>
      </w:r>
      <w:r w:rsidR="001978BD">
        <w:rPr>
          <w:rFonts w:ascii="Calibri" w:hAnsi="Calibri"/>
          <w:color w:val="1F497D"/>
        </w:rPr>
        <w:t xml:space="preserve"> una  tariffa di circolazione</w:t>
      </w:r>
      <w:r w:rsidR="001978BD" w:rsidRPr="001978BD">
        <w:rPr>
          <w:rFonts w:ascii="Calibri" w:hAnsi="Calibri"/>
          <w:color w:val="1F497D"/>
        </w:rPr>
        <w:t xml:space="preserve"> </w:t>
      </w:r>
      <w:r w:rsidR="001978BD">
        <w:rPr>
          <w:rFonts w:ascii="Calibri" w:hAnsi="Calibri"/>
          <w:color w:val="1F497D"/>
        </w:rPr>
        <w:t xml:space="preserve"> per entrare nella fascia verde, l’abolizione dell’esenzione del pagamento  della tariffa di sosta  per i residenti s</w:t>
      </w:r>
      <w:r w:rsidR="001978BD" w:rsidRPr="001978BD">
        <w:rPr>
          <w:rFonts w:ascii="Calibri" w:hAnsi="Calibri"/>
          <w:color w:val="1F497D"/>
        </w:rPr>
        <w:t>ulle strade princip</w:t>
      </w:r>
      <w:r w:rsidR="001978BD">
        <w:rPr>
          <w:rFonts w:ascii="Calibri" w:hAnsi="Calibri"/>
          <w:color w:val="1F497D"/>
        </w:rPr>
        <w:t>ali destinate ad e</w:t>
      </w:r>
      <w:r w:rsidR="003A6C27">
        <w:rPr>
          <w:rFonts w:ascii="Calibri" w:hAnsi="Calibri"/>
          <w:color w:val="1F497D"/>
        </w:rPr>
        <w:t>s</w:t>
      </w:r>
      <w:r w:rsidR="001978BD">
        <w:rPr>
          <w:rFonts w:ascii="Calibri" w:hAnsi="Calibri"/>
          <w:color w:val="1F497D"/>
        </w:rPr>
        <w:t>s</w:t>
      </w:r>
      <w:r w:rsidR="003A6C27">
        <w:rPr>
          <w:rFonts w:ascii="Calibri" w:hAnsi="Calibri"/>
          <w:color w:val="1F497D"/>
        </w:rPr>
        <w:t>ere trasformate in striscia blu</w:t>
      </w:r>
      <w:bookmarkStart w:id="0" w:name="_GoBack"/>
      <w:bookmarkEnd w:id="0"/>
      <w:r w:rsidR="001978BD" w:rsidRPr="001978BD">
        <w:rPr>
          <w:rFonts w:ascii="Calibri" w:hAnsi="Calibri"/>
          <w:color w:val="1F497D"/>
        </w:rPr>
        <w:t>.</w:t>
      </w:r>
    </w:p>
    <w:p w:rsidR="00184FB7" w:rsidRDefault="00184FB7" w:rsidP="00184FB7">
      <w:pPr>
        <w:jc w:val="center"/>
        <w:rPr>
          <w:b/>
        </w:rPr>
      </w:pPr>
      <w:r>
        <w:rPr>
          <w:b/>
        </w:rPr>
        <w:t xml:space="preserve">i sottoscritti cittadini </w:t>
      </w:r>
    </w:p>
    <w:p w:rsidR="00184FB7" w:rsidRDefault="00184FB7" w:rsidP="00FA1FF5">
      <w:r>
        <w:t>chiedono a Roma Capitale ed ATAC di annullare tali modifiche</w:t>
      </w:r>
      <w:r w:rsidR="002D1150">
        <w:t xml:space="preserve"> al piano della mobilità </w:t>
      </w:r>
      <w:r w:rsidR="003A6C27">
        <w:t>senza alcuna estens</w:t>
      </w:r>
      <w:r w:rsidR="00210076">
        <w:t xml:space="preserve">ione della fascia blu alle arterie cittadine principali, </w:t>
      </w:r>
      <w:r w:rsidR="002D1150">
        <w:t>mantenendo la gratuità delle strisce bianche</w:t>
      </w:r>
      <w:r w:rsidR="001978BD">
        <w:t>,</w:t>
      </w:r>
      <w:r w:rsidR="00210076">
        <w:t xml:space="preserve"> </w:t>
      </w:r>
      <w:r w:rsidR="001978BD">
        <w:t xml:space="preserve"> le esenzioni tariffarie per i residenti, il libero accesso nella fascia verde cittadina,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4FB7" w:rsidRPr="00FA331B" w:rsidRDefault="00184FB7" w:rsidP="00184FB7"/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409"/>
        <w:gridCol w:w="2552"/>
        <w:gridCol w:w="2410"/>
        <w:gridCol w:w="2076"/>
      </w:tblGrid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7" w:rsidRDefault="00184FB7" w:rsidP="00AB14D2">
            <w:pPr>
              <w:ind w:right="-622"/>
              <w:rPr>
                <w:b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7" w:rsidRDefault="00184FB7" w:rsidP="00AB14D2">
            <w:pPr>
              <w:ind w:right="-622"/>
              <w:rPr>
                <w:b/>
              </w:rPr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7" w:rsidRDefault="00184FB7" w:rsidP="00AB14D2">
            <w:pPr>
              <w:ind w:right="-62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INDIRIZZO</w:t>
            </w:r>
          </w:p>
          <w:p w:rsidR="00184FB7" w:rsidRDefault="00184FB7" w:rsidP="00AB14D2">
            <w:pPr>
              <w:ind w:right="-622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7" w:rsidRDefault="00184FB7" w:rsidP="00AB14D2">
            <w:pPr>
              <w:ind w:right="-62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MAIL</w:t>
            </w:r>
          </w:p>
          <w:p w:rsidR="00184FB7" w:rsidRDefault="00184FB7" w:rsidP="00AB14D2">
            <w:pPr>
              <w:ind w:right="-622"/>
              <w:jc w:val="both"/>
              <w:rPr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7" w:rsidRDefault="00184FB7" w:rsidP="00AB14D2">
            <w:pPr>
              <w:ind w:right="-622"/>
              <w:rPr>
                <w:b/>
              </w:rPr>
            </w:pPr>
            <w:r>
              <w:rPr>
                <w:b/>
                <w:sz w:val="22"/>
                <w:szCs w:val="22"/>
              </w:rPr>
              <w:t>FIRMA</w:t>
            </w: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  <w:jc w:val="both"/>
              <w:rPr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  <w:rPr>
                <w:b/>
              </w:rPr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  <w:tr w:rsidR="00184FB7" w:rsidTr="009F62FA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7" w:rsidRDefault="00184FB7" w:rsidP="00AB14D2">
            <w:pPr>
              <w:ind w:right="-622"/>
            </w:pPr>
          </w:p>
        </w:tc>
      </w:tr>
    </w:tbl>
    <w:p w:rsidR="009958B7" w:rsidRDefault="009958B7" w:rsidP="007B5314"/>
    <w:sectPr w:rsidR="00995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14"/>
    <w:rsid w:val="0006657D"/>
    <w:rsid w:val="00150BD8"/>
    <w:rsid w:val="00184FB7"/>
    <w:rsid w:val="001978BD"/>
    <w:rsid w:val="001E4659"/>
    <w:rsid w:val="00210076"/>
    <w:rsid w:val="002D1150"/>
    <w:rsid w:val="003A6C27"/>
    <w:rsid w:val="00426B3F"/>
    <w:rsid w:val="005101C6"/>
    <w:rsid w:val="006D02CB"/>
    <w:rsid w:val="007B5314"/>
    <w:rsid w:val="0093506E"/>
    <w:rsid w:val="009958B7"/>
    <w:rsid w:val="009964D7"/>
    <w:rsid w:val="009F62FA"/>
    <w:rsid w:val="00DB5EC8"/>
    <w:rsid w:val="00E52E14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F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FF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F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F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gia</cp:lastModifiedBy>
  <cp:revision>2</cp:revision>
  <cp:lastPrinted>2014-09-22T10:23:00Z</cp:lastPrinted>
  <dcterms:created xsi:type="dcterms:W3CDTF">2014-09-23T07:23:00Z</dcterms:created>
  <dcterms:modified xsi:type="dcterms:W3CDTF">2014-09-23T07:23:00Z</dcterms:modified>
</cp:coreProperties>
</file>